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ABE" w:rsidRDefault="00595ABE" w:rsidP="00595ABE">
      <w:pPr>
        <w:spacing w:beforeLines="100" w:before="312" w:afterLines="100" w:after="312" w:line="360" w:lineRule="auto"/>
        <w:jc w:val="center"/>
        <w:outlineLvl w:val="0"/>
        <w:rPr>
          <w:b/>
          <w:bCs/>
          <w:sz w:val="28"/>
          <w:szCs w:val="28"/>
        </w:rPr>
      </w:pPr>
      <w:bookmarkStart w:id="0" w:name="_Toc526903439"/>
      <w:r>
        <w:rPr>
          <w:rFonts w:hint="eastAsia"/>
          <w:b/>
          <w:bCs/>
          <w:sz w:val="28"/>
          <w:szCs w:val="28"/>
        </w:rPr>
        <w:t>成孔仪操作规程</w:t>
      </w:r>
      <w:bookmarkEnd w:id="0"/>
    </w:p>
    <w:p w:rsidR="00595ABE" w:rsidRDefault="00595ABE" w:rsidP="00595ABE">
      <w:pPr>
        <w:widowControl/>
        <w:snapToGrid w:val="0"/>
        <w:spacing w:line="440" w:lineRule="exact"/>
        <w:ind w:right="23" w:firstLineChars="200" w:firstLine="482"/>
        <w:rPr>
          <w:rFonts w:ascii="宋体" w:hAnsi="宋体"/>
          <w:b/>
          <w:sz w:val="24"/>
        </w:rPr>
      </w:pPr>
      <w:r>
        <w:rPr>
          <w:rFonts w:ascii="宋体" w:hAnsi="宋体" w:hint="eastAsia"/>
          <w:b/>
          <w:sz w:val="24"/>
        </w:rPr>
        <w:t>1、测量前的准备</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）在待测井口平行放置两根带槽钢轨，将线架沿着导轨推到井口上方，调整线架使探头位于井口中心；</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）将主机通过电缆与线架连接，主机接上</w:t>
      </w:r>
      <w:r>
        <w:rPr>
          <w:rFonts w:ascii="宋体" w:hAnsi="宋体"/>
          <w:sz w:val="24"/>
        </w:rPr>
        <w:t xml:space="preserve">220V </w:t>
      </w:r>
      <w:r>
        <w:rPr>
          <w:rFonts w:ascii="宋体" w:hAnsi="宋体" w:hint="eastAsia"/>
          <w:sz w:val="24"/>
        </w:rPr>
        <w:t>交流电；</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）打开主机电源开关，启动主机，运行成孔质量检测仪应用软件</w:t>
      </w:r>
    </w:p>
    <w:p w:rsidR="00595ABE" w:rsidRDefault="00595ABE" w:rsidP="00595ABE">
      <w:pPr>
        <w:widowControl/>
        <w:snapToGrid w:val="0"/>
        <w:spacing w:line="440" w:lineRule="exact"/>
        <w:ind w:right="23" w:firstLineChars="200" w:firstLine="482"/>
        <w:rPr>
          <w:rFonts w:ascii="宋体" w:hAnsi="宋体"/>
          <w:b/>
          <w:sz w:val="24"/>
        </w:rPr>
      </w:pPr>
      <w:r>
        <w:rPr>
          <w:rFonts w:ascii="宋体" w:hAnsi="宋体"/>
          <w:b/>
          <w:sz w:val="24"/>
        </w:rPr>
        <w:t xml:space="preserve">2 </w:t>
      </w:r>
      <w:r>
        <w:rPr>
          <w:rFonts w:ascii="宋体" w:hAnsi="宋体" w:hint="eastAsia"/>
          <w:b/>
          <w:sz w:val="24"/>
        </w:rPr>
        <w:t>、参数设置</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选择菜单“配置</w:t>
      </w:r>
      <w:r>
        <w:rPr>
          <w:rFonts w:ascii="宋体" w:hAnsi="宋体"/>
          <w:sz w:val="24"/>
        </w:rPr>
        <w:t>/</w:t>
      </w:r>
      <w:r>
        <w:rPr>
          <w:rFonts w:ascii="宋体" w:hAnsi="宋体" w:hint="eastAsia"/>
          <w:sz w:val="24"/>
        </w:rPr>
        <w:t>基本信息”或在工具栏中点击图标，则进入基本信息输入对话框。</w:t>
      </w:r>
    </w:p>
    <w:p w:rsidR="00595ABE" w:rsidRDefault="00595ABE" w:rsidP="00595ABE">
      <w:pPr>
        <w:autoSpaceDE w:val="0"/>
        <w:autoSpaceDN w:val="0"/>
        <w:adjustRightInd w:val="0"/>
        <w:jc w:val="center"/>
        <w:rPr>
          <w:rFonts w:ascii="TT64E9BFA0tCID-WinCharSetFFFF-H" w:eastAsia="TT64E9BFA0tCID-WinCharSetFFFF-H" w:cs="TT64E9BFA0tCID-WinCharSetFFFF-H"/>
          <w:kern w:val="0"/>
          <w:szCs w:val="21"/>
        </w:rPr>
      </w:pPr>
      <w:r>
        <w:rPr>
          <w:rFonts w:ascii="TT64E9BFA0tCID-WinCharSetFFFF-H" w:eastAsia="TT64E9BFA0tCID-WinCharSetFFFF-H" w:cs="TT64E9BFA0tCID-WinCharSetFFFF-H"/>
          <w:noProof/>
          <w:kern w:val="0"/>
          <w:szCs w:val="21"/>
        </w:rPr>
        <w:drawing>
          <wp:inline distT="0" distB="0" distL="0" distR="0">
            <wp:extent cx="2035810" cy="16306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5810" cy="1630680"/>
                    </a:xfrm>
                    <a:prstGeom prst="rect">
                      <a:avLst/>
                    </a:prstGeom>
                    <a:noFill/>
                    <a:ln>
                      <a:noFill/>
                    </a:ln>
                  </pic:spPr>
                </pic:pic>
              </a:graphicData>
            </a:graphic>
          </wp:inline>
        </w:drawing>
      </w:r>
    </w:p>
    <w:p w:rsidR="00A15FCF" w:rsidRDefault="00595ABE" w:rsidP="00595ABE">
      <w:pPr>
        <w:jc w:val="center"/>
        <w:rPr>
          <w:rFonts w:hint="eastAsia"/>
        </w:rPr>
      </w:pPr>
      <w:r>
        <w:rPr>
          <w:rFonts w:ascii="宋体" w:hAnsi="宋体"/>
          <w:noProof/>
          <w:color w:val="000080"/>
        </w:rPr>
        <w:drawing>
          <wp:inline distT="0" distB="0" distL="0" distR="0">
            <wp:extent cx="4666615" cy="179451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6615" cy="1794510"/>
                    </a:xfrm>
                    <a:prstGeom prst="rect">
                      <a:avLst/>
                    </a:prstGeom>
                    <a:noFill/>
                    <a:ln>
                      <a:noFill/>
                    </a:ln>
                  </pic:spPr>
                </pic:pic>
              </a:graphicData>
            </a:graphic>
          </wp:inline>
        </w:drawing>
      </w:r>
    </w:p>
    <w:p w:rsidR="00595ABE" w:rsidRDefault="00595ABE" w:rsidP="00595ABE">
      <w:pPr>
        <w:widowControl/>
        <w:snapToGrid w:val="0"/>
        <w:spacing w:line="440" w:lineRule="exact"/>
        <w:ind w:right="23" w:firstLineChars="200" w:firstLine="420"/>
        <w:rPr>
          <w:rFonts w:ascii="宋体" w:hAnsi="宋体"/>
          <w:sz w:val="24"/>
        </w:rPr>
      </w:pPr>
      <w:r>
        <w:rPr>
          <w:rFonts w:ascii="宋体" w:hAnsi="宋体" w:cs="TT64E9BFA0tCID-WinCharSetFFFF-H" w:hint="eastAsia"/>
          <w:kern w:val="0"/>
          <w:szCs w:val="21"/>
        </w:rPr>
        <w:t>（</w:t>
      </w:r>
      <w:r>
        <w:rPr>
          <w:rFonts w:ascii="宋体" w:hAnsi="宋体"/>
          <w:sz w:val="24"/>
        </w:rPr>
        <w:t>1</w:t>
      </w:r>
      <w:r>
        <w:rPr>
          <w:rFonts w:ascii="宋体" w:hAnsi="宋体" w:hint="eastAsia"/>
          <w:sz w:val="24"/>
        </w:rPr>
        <w:t>）基本信息输入</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主要输入工程相关信息，其中工程名称和检测孔号必须输入，用于生成缺省的文件名。其他参数可以在输出报告中显示。如果检测仪未连接键盘，点击输入框可弹出软键盘输入方式，可以输入中文内容。特别的，点击文件路径时，可根据工程名称、检测孔号和检测日期生成一个缺省的文件名。</w:t>
      </w:r>
    </w:p>
    <w:p w:rsidR="00595ABE" w:rsidRDefault="00595ABE" w:rsidP="00595ABE">
      <w:pPr>
        <w:rPr>
          <w:rFonts w:ascii="TT64E9BFA0tCID-WinCharSetFFFF-H" w:eastAsia="TT64E9BFA0tCID-WinCharSetFFFF-H" w:cs="TT64E9BFA0tCID-WinCharSetFFFF-H"/>
          <w:kern w:val="0"/>
          <w:szCs w:val="21"/>
        </w:rPr>
      </w:pPr>
    </w:p>
    <w:p w:rsidR="00595ABE" w:rsidRDefault="00595ABE" w:rsidP="00595ABE">
      <w:pPr>
        <w:widowControl/>
        <w:snapToGrid w:val="0"/>
        <w:spacing w:line="360" w:lineRule="auto"/>
        <w:ind w:right="21" w:firstLineChars="200" w:firstLine="420"/>
        <w:rPr>
          <w:rFonts w:ascii="宋体" w:hAnsi="宋体"/>
          <w:color w:val="000080"/>
        </w:rPr>
      </w:pPr>
      <w:r>
        <w:rPr>
          <w:rFonts w:ascii="宋体" w:hAnsi="宋体"/>
          <w:noProof/>
          <w:color w:val="000080"/>
        </w:rPr>
        <w:lastRenderedPageBreak/>
        <w:drawing>
          <wp:inline distT="0" distB="0" distL="0" distR="0">
            <wp:extent cx="4554855" cy="22339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4855" cy="2233930"/>
                    </a:xfrm>
                    <a:prstGeom prst="rect">
                      <a:avLst/>
                    </a:prstGeom>
                    <a:noFill/>
                    <a:ln>
                      <a:noFill/>
                    </a:ln>
                  </pic:spPr>
                </pic:pic>
              </a:graphicData>
            </a:graphic>
          </wp:inline>
        </w:drawing>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选择菜单“配置</w:t>
      </w:r>
      <w:r>
        <w:rPr>
          <w:rFonts w:ascii="宋体" w:hAnsi="宋体"/>
          <w:sz w:val="24"/>
        </w:rPr>
        <w:t>/</w:t>
      </w:r>
      <w:r>
        <w:rPr>
          <w:rFonts w:ascii="宋体" w:hAnsi="宋体" w:hint="eastAsia"/>
          <w:sz w:val="24"/>
        </w:rPr>
        <w:t>检测参数”或在工具栏中点击图标，进入检测参数输入对话框。</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）检测参数输入</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检测参数包括成孔检测和成槽检测选择。成孔检测时四个方向的探头均有效，而成槽检测时只有</w:t>
      </w:r>
      <w:r>
        <w:rPr>
          <w:rFonts w:ascii="宋体" w:hAnsi="宋体"/>
          <w:sz w:val="24"/>
        </w:rPr>
        <w:t>1</w:t>
      </w:r>
      <w:r>
        <w:rPr>
          <w:rFonts w:ascii="宋体" w:hAnsi="宋体" w:hint="eastAsia"/>
          <w:sz w:val="24"/>
        </w:rPr>
        <w:t>、</w:t>
      </w:r>
      <w:r>
        <w:rPr>
          <w:rFonts w:ascii="宋体" w:hAnsi="宋体"/>
          <w:sz w:val="24"/>
        </w:rPr>
        <w:t xml:space="preserve">3 </w:t>
      </w:r>
      <w:r>
        <w:rPr>
          <w:rFonts w:ascii="宋体" w:hAnsi="宋体" w:hint="eastAsia"/>
          <w:sz w:val="24"/>
        </w:rPr>
        <w:t>探头有效。成孔信息、采样参数、滑轮信息和脉冲参数四组。如果检测仪未连接键盘，点击输入框可弹出数字软键盘输入方式成孔信息包括设计孔深、设计孔径、测点距、探头直径四个参数，测点距可选择</w:t>
      </w:r>
      <w:r>
        <w:rPr>
          <w:rFonts w:ascii="宋体" w:hAnsi="宋体"/>
          <w:sz w:val="24"/>
        </w:rPr>
        <w:t>50</w:t>
      </w:r>
      <w:r>
        <w:rPr>
          <w:rFonts w:ascii="宋体" w:hAnsi="宋体" w:hint="eastAsia"/>
          <w:sz w:val="24"/>
        </w:rPr>
        <w:t>、</w:t>
      </w:r>
      <w:r>
        <w:rPr>
          <w:rFonts w:ascii="宋体" w:hAnsi="宋体"/>
          <w:sz w:val="24"/>
        </w:rPr>
        <w:t>100</w:t>
      </w:r>
      <w:r>
        <w:rPr>
          <w:rFonts w:ascii="宋体" w:hAnsi="宋体" w:hint="eastAsia"/>
          <w:sz w:val="24"/>
        </w:rPr>
        <w:t>、</w:t>
      </w:r>
      <w:r>
        <w:rPr>
          <w:rFonts w:ascii="宋体" w:hAnsi="宋体"/>
          <w:sz w:val="24"/>
        </w:rPr>
        <w:t>150</w:t>
      </w:r>
      <w:r>
        <w:rPr>
          <w:rFonts w:ascii="宋体" w:hAnsi="宋体" w:hint="eastAsia"/>
          <w:sz w:val="24"/>
        </w:rPr>
        <w:t>、</w:t>
      </w:r>
      <w:r>
        <w:rPr>
          <w:rFonts w:ascii="宋体" w:hAnsi="宋体"/>
          <w:sz w:val="24"/>
        </w:rPr>
        <w:t xml:space="preserve">200mm </w:t>
      </w:r>
      <w:r>
        <w:rPr>
          <w:rFonts w:ascii="宋体" w:hAnsi="宋体" w:hint="eastAsia"/>
          <w:sz w:val="24"/>
        </w:rPr>
        <w:t>四档，探头直径缺省值为</w:t>
      </w:r>
      <w:r>
        <w:rPr>
          <w:rFonts w:ascii="宋体" w:hAnsi="宋体"/>
          <w:sz w:val="24"/>
        </w:rPr>
        <w:t>225mm</w:t>
      </w:r>
      <w:r>
        <w:rPr>
          <w:rFonts w:ascii="宋体" w:hAnsi="宋体" w:hint="eastAsia"/>
          <w:sz w:val="24"/>
        </w:rPr>
        <w:t>，准确量测后设置一次即可。</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采样参数设置与声波发射和采集相关的参数，包括采样率、触发延时、零声时发射脉宽和增益（放大倍数），采样长度固定为</w:t>
      </w:r>
      <w:r>
        <w:rPr>
          <w:rFonts w:ascii="宋体" w:hAnsi="宋体"/>
          <w:sz w:val="24"/>
        </w:rPr>
        <w:t xml:space="preserve">1024 </w:t>
      </w:r>
      <w:r>
        <w:rPr>
          <w:rFonts w:ascii="宋体" w:hAnsi="宋体" w:hint="eastAsia"/>
          <w:sz w:val="24"/>
        </w:rPr>
        <w:t>点，采样率可选</w:t>
      </w:r>
      <w:r>
        <w:rPr>
          <w:rFonts w:ascii="宋体" w:hAnsi="宋体"/>
          <w:sz w:val="24"/>
        </w:rPr>
        <w:t>2M</w:t>
      </w:r>
      <w:r>
        <w:rPr>
          <w:rFonts w:ascii="宋体" w:hAnsi="宋体" w:hint="eastAsia"/>
          <w:sz w:val="24"/>
        </w:rPr>
        <w:t>、</w:t>
      </w:r>
      <w:r>
        <w:rPr>
          <w:rFonts w:ascii="宋体" w:hAnsi="宋体"/>
          <w:sz w:val="24"/>
        </w:rPr>
        <w:t>1M</w:t>
      </w:r>
      <w:r>
        <w:rPr>
          <w:rFonts w:ascii="宋体" w:hAnsi="宋体" w:hint="eastAsia"/>
          <w:sz w:val="24"/>
        </w:rPr>
        <w:t>、</w:t>
      </w:r>
      <w:r>
        <w:rPr>
          <w:rFonts w:ascii="宋体" w:hAnsi="宋体"/>
          <w:sz w:val="24"/>
        </w:rPr>
        <w:t>500k</w:t>
      </w:r>
      <w:r>
        <w:rPr>
          <w:rFonts w:ascii="宋体" w:hAnsi="宋体" w:hint="eastAsia"/>
          <w:sz w:val="24"/>
        </w:rPr>
        <w:t>、</w:t>
      </w:r>
      <w:r>
        <w:rPr>
          <w:rFonts w:ascii="宋体" w:hAnsi="宋体"/>
          <w:sz w:val="24"/>
        </w:rPr>
        <w:t>200k</w:t>
      </w:r>
      <w:r>
        <w:rPr>
          <w:rFonts w:ascii="宋体" w:hAnsi="宋体" w:hint="eastAsia"/>
          <w:sz w:val="24"/>
        </w:rPr>
        <w:t>、</w:t>
      </w:r>
      <w:r>
        <w:rPr>
          <w:rFonts w:ascii="宋体" w:hAnsi="宋体"/>
          <w:sz w:val="24"/>
        </w:rPr>
        <w:t>100k</w:t>
      </w:r>
      <w:r>
        <w:rPr>
          <w:rFonts w:ascii="宋体" w:hAnsi="宋体" w:hint="eastAsia"/>
          <w:sz w:val="24"/>
        </w:rPr>
        <w:t>共</w:t>
      </w:r>
      <w:r>
        <w:rPr>
          <w:rFonts w:ascii="宋体" w:hAnsi="宋体"/>
          <w:sz w:val="24"/>
        </w:rPr>
        <w:t xml:space="preserve">5 </w:t>
      </w:r>
      <w:r>
        <w:rPr>
          <w:rFonts w:ascii="宋体" w:hAnsi="宋体" w:hint="eastAsia"/>
          <w:sz w:val="24"/>
        </w:rPr>
        <w:t>档，增益可选</w:t>
      </w:r>
      <w:r>
        <w:rPr>
          <w:rFonts w:ascii="宋体" w:hAnsi="宋体"/>
          <w:sz w:val="24"/>
        </w:rPr>
        <w:t>1</w:t>
      </w:r>
      <w:r>
        <w:rPr>
          <w:rFonts w:ascii="宋体" w:hAnsi="宋体" w:hint="eastAsia"/>
          <w:sz w:val="24"/>
        </w:rPr>
        <w:t>、</w:t>
      </w:r>
      <w:r>
        <w:rPr>
          <w:rFonts w:ascii="宋体" w:hAnsi="宋体"/>
          <w:sz w:val="24"/>
        </w:rPr>
        <w:t>2</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8</w:t>
      </w:r>
      <w:r>
        <w:rPr>
          <w:rFonts w:ascii="宋体" w:hAnsi="宋体" w:hint="eastAsia"/>
          <w:sz w:val="24"/>
        </w:rPr>
        <w:t>、…、</w:t>
      </w:r>
      <w:r>
        <w:rPr>
          <w:rFonts w:ascii="宋体" w:hAnsi="宋体"/>
          <w:sz w:val="24"/>
        </w:rPr>
        <w:t xml:space="preserve">800 </w:t>
      </w:r>
      <w:r>
        <w:rPr>
          <w:rFonts w:ascii="宋体" w:hAnsi="宋体" w:hint="eastAsia"/>
          <w:sz w:val="24"/>
        </w:rPr>
        <w:t>共</w:t>
      </w:r>
      <w:r>
        <w:rPr>
          <w:rFonts w:ascii="宋体" w:hAnsi="宋体"/>
          <w:sz w:val="24"/>
        </w:rPr>
        <w:t xml:space="preserve">12 </w:t>
      </w:r>
      <w:r>
        <w:rPr>
          <w:rFonts w:ascii="宋体" w:hAnsi="宋体" w:hint="eastAsia"/>
          <w:sz w:val="24"/>
        </w:rPr>
        <w:t>档。采样参数还可在测试模式下调整，见</w:t>
      </w:r>
      <w:r>
        <w:rPr>
          <w:rFonts w:ascii="宋体" w:hAnsi="宋体"/>
          <w:sz w:val="24"/>
        </w:rPr>
        <w:t>3.3</w:t>
      </w:r>
      <w:r>
        <w:rPr>
          <w:rFonts w:ascii="宋体" w:hAnsi="宋体" w:hint="eastAsia"/>
          <w:sz w:val="24"/>
        </w:rPr>
        <w:t>。采样参数中，零声时和发射脉宽基本固定为</w:t>
      </w:r>
      <w:r>
        <w:rPr>
          <w:rFonts w:ascii="宋体" w:hAnsi="宋体"/>
          <w:sz w:val="24"/>
        </w:rPr>
        <w:t xml:space="preserve">16us </w:t>
      </w:r>
      <w:r>
        <w:rPr>
          <w:rFonts w:ascii="宋体" w:hAnsi="宋体" w:hint="eastAsia"/>
          <w:sz w:val="24"/>
        </w:rPr>
        <w:t>和</w:t>
      </w:r>
      <w:r>
        <w:rPr>
          <w:rFonts w:ascii="宋体" w:hAnsi="宋体"/>
          <w:sz w:val="24"/>
        </w:rPr>
        <w:t>9us</w:t>
      </w:r>
      <w:r>
        <w:rPr>
          <w:rFonts w:ascii="宋体" w:hAnsi="宋体" w:hint="eastAsia"/>
          <w:sz w:val="24"/>
        </w:rPr>
        <w:t>，采样率和触发延时要根据孔径大小来设置，设置的原则是在保证反射信号位于波形的</w:t>
      </w:r>
      <w:r>
        <w:rPr>
          <w:rFonts w:ascii="宋体" w:hAnsi="宋体"/>
          <w:sz w:val="24"/>
        </w:rPr>
        <w:t xml:space="preserve">1/2 </w:t>
      </w:r>
      <w:r>
        <w:rPr>
          <w:rFonts w:ascii="宋体" w:hAnsi="宋体" w:hint="eastAsia"/>
          <w:sz w:val="24"/>
        </w:rPr>
        <w:t>位置的前提下采样率尽可能取较大值。当设置好钻孔直径后，软件自动计算该直径对应的最佳采样率和触发延时。在实际测试过程中可通过测试模式来查看各采样设置是否合适并进行调整。</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根据测试时所使用的探头，探头直径指的是一个方向上的两个探头端面之间的距离，通过实际测量结果设置。大探头为</w:t>
      </w:r>
      <w:r>
        <w:rPr>
          <w:rFonts w:ascii="宋体" w:hAnsi="宋体"/>
          <w:sz w:val="24"/>
        </w:rPr>
        <w:t xml:space="preserve">220--260mm </w:t>
      </w:r>
      <w:r>
        <w:rPr>
          <w:rFonts w:ascii="宋体" w:hAnsi="宋体" w:hint="eastAsia"/>
          <w:sz w:val="24"/>
        </w:rPr>
        <w:t>之间，小探头在</w:t>
      </w:r>
      <w:r>
        <w:rPr>
          <w:rFonts w:ascii="宋体" w:hAnsi="宋体"/>
          <w:sz w:val="24"/>
        </w:rPr>
        <w:t xml:space="preserve">200mm </w:t>
      </w:r>
      <w:r>
        <w:rPr>
          <w:rFonts w:ascii="宋体" w:hAnsi="宋体" w:hint="eastAsia"/>
          <w:sz w:val="24"/>
        </w:rPr>
        <w:t>左右。</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脉冲参数用于对深度测量的准确度进行校准，影响检测深度精度的因素主要有光电编码器计数精度、相邻编码间的深度间隔、电缆的伸缩性以及计数滑轮和电缆的磨损等。在这些因素中，光电编码器计数精度是恒定不变的，相邻编码间</w:t>
      </w:r>
      <w:r>
        <w:rPr>
          <w:rFonts w:ascii="宋体" w:hAnsi="宋体" w:hint="eastAsia"/>
          <w:sz w:val="24"/>
        </w:rPr>
        <w:lastRenderedPageBreak/>
        <w:t>的深度间隔受电缆和滑轮的形变的影响；电缆的伸缩度受电缆自重、探头质量和水的浮力影响。</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滑轮信息参数中，针对于不同结构的电缆架，其传动模式不一样，手动模式的为两线式，电动模式为三线式。滑轮直径指的是带深度技术器的滑轮的直径，为</w:t>
      </w:r>
      <w:r>
        <w:rPr>
          <w:rFonts w:ascii="宋体" w:hAnsi="宋体"/>
          <w:sz w:val="24"/>
        </w:rPr>
        <w:t>80mm</w:t>
      </w:r>
      <w:r>
        <w:rPr>
          <w:rFonts w:ascii="宋体" w:hAnsi="宋体" w:hint="eastAsia"/>
          <w:sz w:val="24"/>
        </w:rPr>
        <w:t>。电缆直径指的是经过深度计数器滑轮的电缆的直径，两线式的电缆直径为</w:t>
      </w:r>
      <w:r>
        <w:rPr>
          <w:rFonts w:ascii="宋体" w:hAnsi="宋体"/>
          <w:sz w:val="24"/>
        </w:rPr>
        <w:t>4mm</w:t>
      </w:r>
      <w:r>
        <w:rPr>
          <w:rFonts w:ascii="宋体" w:hAnsi="宋体" w:hint="eastAsia"/>
          <w:sz w:val="24"/>
        </w:rPr>
        <w:t>，三线式的为</w:t>
      </w:r>
      <w:r>
        <w:rPr>
          <w:rFonts w:ascii="宋体" w:hAnsi="宋体"/>
          <w:sz w:val="24"/>
        </w:rPr>
        <w:t>6mm</w:t>
      </w:r>
      <w:r>
        <w:rPr>
          <w:rFonts w:ascii="宋体" w:hAnsi="宋体" w:hint="eastAsia"/>
          <w:sz w:val="24"/>
        </w:rPr>
        <w:t>。这些参数可以直接通过刻度尺量测后输入。滑轮参数不同，脉冲间隔就不同，这样直接影响的是深度测试的准确定。</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深度校准可以在实测过程中校准，也可以在检测后校准。校准公式为：</w:t>
      </w:r>
      <w:r>
        <w:rPr>
          <w:rFonts w:ascii="宋体" w:hAnsi="宋体"/>
          <w:sz w:val="24"/>
        </w:rPr>
        <w:t>D = H1*D0 / H0</w:t>
      </w:r>
      <w:r>
        <w:rPr>
          <w:rFonts w:ascii="宋体" w:hAnsi="宋体" w:hint="eastAsia"/>
          <w:sz w:val="24"/>
        </w:rPr>
        <w:t>；其中，</w:t>
      </w:r>
      <w:r>
        <w:rPr>
          <w:rFonts w:ascii="宋体" w:hAnsi="宋体"/>
          <w:sz w:val="24"/>
        </w:rPr>
        <w:t xml:space="preserve">D0 </w:t>
      </w:r>
      <w:r>
        <w:rPr>
          <w:rFonts w:ascii="宋体" w:hAnsi="宋体" w:hint="eastAsia"/>
          <w:sz w:val="24"/>
        </w:rPr>
        <w:t>为校准前的相邻编码间的深度间隔，</w:t>
      </w:r>
      <w:r>
        <w:rPr>
          <w:rFonts w:ascii="宋体" w:hAnsi="宋体"/>
          <w:sz w:val="24"/>
        </w:rPr>
        <w:t xml:space="preserve">H0 </w:t>
      </w:r>
      <w:r>
        <w:rPr>
          <w:rFonts w:ascii="宋体" w:hAnsi="宋体" w:hint="eastAsia"/>
          <w:sz w:val="24"/>
        </w:rPr>
        <w:t>为测得的电缆段长度，</w:t>
      </w:r>
      <w:r>
        <w:rPr>
          <w:rFonts w:ascii="宋体" w:hAnsi="宋体"/>
          <w:sz w:val="24"/>
        </w:rPr>
        <w:t xml:space="preserve">H1 </w:t>
      </w:r>
      <w:r>
        <w:rPr>
          <w:rFonts w:ascii="宋体" w:hAnsi="宋体" w:hint="eastAsia"/>
          <w:sz w:val="24"/>
        </w:rPr>
        <w:t>为电缆段实际长度，</w:t>
      </w:r>
      <w:r>
        <w:rPr>
          <w:rFonts w:ascii="宋体" w:hAnsi="宋体"/>
          <w:sz w:val="24"/>
        </w:rPr>
        <w:t xml:space="preserve">D </w:t>
      </w:r>
      <w:r>
        <w:rPr>
          <w:rFonts w:ascii="宋体" w:hAnsi="宋体" w:hint="eastAsia"/>
          <w:sz w:val="24"/>
        </w:rPr>
        <w:t>为校准后的相邻编码间的深度间隔。用于校准的电缆段长度</w:t>
      </w:r>
      <w:r>
        <w:rPr>
          <w:rFonts w:ascii="宋体" w:hAnsi="宋体"/>
          <w:sz w:val="24"/>
        </w:rPr>
        <w:t xml:space="preserve">H1 </w:t>
      </w:r>
      <w:r>
        <w:rPr>
          <w:rFonts w:ascii="宋体" w:hAnsi="宋体" w:hint="eastAsia"/>
          <w:sz w:val="24"/>
        </w:rPr>
        <w:t>为</w:t>
      </w:r>
      <w:r>
        <w:rPr>
          <w:rFonts w:ascii="宋体" w:hAnsi="宋体"/>
          <w:sz w:val="24"/>
        </w:rPr>
        <w:t>20</w:t>
      </w:r>
      <w:r>
        <w:rPr>
          <w:rFonts w:ascii="宋体" w:hAnsi="宋体" w:hint="eastAsia"/>
          <w:sz w:val="24"/>
        </w:rPr>
        <w:t>～</w:t>
      </w:r>
      <w:r>
        <w:rPr>
          <w:rFonts w:ascii="宋体" w:hAnsi="宋体"/>
          <w:sz w:val="24"/>
        </w:rPr>
        <w:t xml:space="preserve">50 </w:t>
      </w:r>
      <w:r>
        <w:rPr>
          <w:rFonts w:ascii="宋体" w:hAnsi="宋体" w:hint="eastAsia"/>
          <w:sz w:val="24"/>
        </w:rPr>
        <w:t>米比较合适。将校准后的</w:t>
      </w:r>
      <w:r>
        <w:rPr>
          <w:rFonts w:ascii="宋体" w:hAnsi="宋体"/>
          <w:sz w:val="24"/>
        </w:rPr>
        <w:t xml:space="preserve">D </w:t>
      </w:r>
      <w:r>
        <w:rPr>
          <w:rFonts w:ascii="宋体" w:hAnsi="宋体" w:hint="eastAsia"/>
          <w:sz w:val="24"/>
        </w:rPr>
        <w:t>输入到检测仪器中，则随后测得的结果即为校准后的结果。</w:t>
      </w:r>
    </w:p>
    <w:p w:rsidR="00595ABE" w:rsidRDefault="00595ABE" w:rsidP="00595ABE">
      <w:pPr>
        <w:widowControl/>
        <w:snapToGrid w:val="0"/>
        <w:spacing w:line="360" w:lineRule="auto"/>
        <w:ind w:right="21" w:firstLineChars="200" w:firstLine="480"/>
        <w:rPr>
          <w:rFonts w:ascii="宋体" w:hAnsi="宋体"/>
          <w:sz w:val="24"/>
        </w:rPr>
      </w:pPr>
      <w:bookmarkStart w:id="1" w:name="_Toc389055136"/>
      <w:r>
        <w:rPr>
          <w:rFonts w:ascii="宋体" w:hAnsi="宋体" w:hint="eastAsia"/>
          <w:sz w:val="24"/>
        </w:rPr>
        <w:t>只要基本信息的文件路径不为空，对检测信息输入确定后就可进行实际采样。</w:t>
      </w:r>
      <w:bookmarkEnd w:id="1"/>
    </w:p>
    <w:p w:rsidR="00595ABE" w:rsidRDefault="00595ABE" w:rsidP="00595ABE">
      <w:pPr>
        <w:widowControl/>
        <w:snapToGrid w:val="0"/>
        <w:spacing w:line="440" w:lineRule="exact"/>
        <w:ind w:right="23" w:firstLineChars="200" w:firstLine="482"/>
        <w:rPr>
          <w:rFonts w:ascii="宋体" w:hAnsi="宋体"/>
          <w:b/>
          <w:sz w:val="24"/>
        </w:rPr>
      </w:pPr>
      <w:r>
        <w:rPr>
          <w:rFonts w:ascii="宋体" w:hAnsi="宋体" w:hint="eastAsia"/>
          <w:b/>
          <w:sz w:val="24"/>
        </w:rPr>
        <w:t>3、测试模式</w:t>
      </w:r>
    </w:p>
    <w:p w:rsidR="00595ABE" w:rsidRDefault="00595ABE" w:rsidP="00595ABE">
      <w:pPr>
        <w:rPr>
          <w:rFonts w:ascii="宋体" w:hAnsi="宋体" w:hint="eastAsia"/>
          <w:sz w:val="24"/>
        </w:rPr>
      </w:pPr>
      <w:r>
        <w:rPr>
          <w:rFonts w:ascii="宋体" w:hAnsi="宋体" w:hint="eastAsia"/>
          <w:sz w:val="24"/>
        </w:rPr>
        <w:t>超声在有一定比重的泥浆中传播时，会受到环境的影响，泥浆的比重越高，悬浮颗粒越大，则信号散射和衰减越快，传播中的噪音越大。为了减小环境背景噪音的干扰，在测试前需要进行背景测试。</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通常在实际采样前，可进入测试模式，测试模式可以启动手动采集，其主要目的是为了调试系统采样参数，达到较好的效果。</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选择菜单“采样</w:t>
      </w:r>
      <w:r>
        <w:rPr>
          <w:rFonts w:ascii="宋体" w:hAnsi="宋体"/>
          <w:sz w:val="24"/>
        </w:rPr>
        <w:t>/</w:t>
      </w:r>
      <w:r>
        <w:rPr>
          <w:rFonts w:ascii="宋体" w:hAnsi="宋体" w:hint="eastAsia"/>
          <w:sz w:val="24"/>
        </w:rPr>
        <w:t>测试模式”或在工具栏中点击图标，进入测试模式对话框</w:t>
      </w:r>
      <w:r>
        <w:rPr>
          <w:rFonts w:ascii="宋体" w:hAnsi="宋体"/>
          <w:sz w:val="24"/>
        </w:rPr>
        <w:t>(</w:t>
      </w:r>
      <w:r>
        <w:rPr>
          <w:rFonts w:ascii="宋体" w:hAnsi="宋体" w:hint="eastAsia"/>
          <w:sz w:val="24"/>
        </w:rPr>
        <w:t>图</w:t>
      </w:r>
      <w:r>
        <w:rPr>
          <w:rFonts w:ascii="宋体" w:hAnsi="宋体"/>
          <w:sz w:val="24"/>
        </w:rPr>
        <w:t>3-7)</w:t>
      </w:r>
      <w:r>
        <w:rPr>
          <w:rFonts w:ascii="宋体" w:hAnsi="宋体" w:hint="eastAsia"/>
          <w:sz w:val="24"/>
        </w:rPr>
        <w:t>。</w:t>
      </w:r>
    </w:p>
    <w:p w:rsidR="00595ABE" w:rsidRDefault="00595ABE" w:rsidP="00595ABE">
      <w:pPr>
        <w:widowControl/>
        <w:snapToGrid w:val="0"/>
        <w:spacing w:line="360" w:lineRule="auto"/>
        <w:ind w:right="21" w:firstLineChars="200" w:firstLine="420"/>
        <w:rPr>
          <w:rFonts w:ascii="宋体" w:hAnsi="宋体"/>
          <w:color w:val="000080"/>
        </w:rPr>
      </w:pPr>
      <w:r>
        <w:rPr>
          <w:rFonts w:ascii="宋体" w:hAnsi="宋体"/>
          <w:noProof/>
          <w:color w:val="000080"/>
        </w:rPr>
        <w:drawing>
          <wp:inline distT="0" distB="0" distL="0" distR="0">
            <wp:extent cx="4641215" cy="1647825"/>
            <wp:effectExtent l="0" t="0" r="698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215" cy="1647825"/>
                    </a:xfrm>
                    <a:prstGeom prst="rect">
                      <a:avLst/>
                    </a:prstGeom>
                    <a:noFill/>
                    <a:ln>
                      <a:noFill/>
                    </a:ln>
                  </pic:spPr>
                </pic:pic>
              </a:graphicData>
            </a:graphic>
          </wp:inline>
        </w:drawing>
      </w:r>
    </w:p>
    <w:p w:rsidR="00595ABE" w:rsidRDefault="00595ABE" w:rsidP="00595ABE">
      <w:pPr>
        <w:widowControl/>
        <w:snapToGrid w:val="0"/>
        <w:spacing w:line="360" w:lineRule="auto"/>
        <w:ind w:right="21" w:firstLineChars="200" w:firstLine="420"/>
        <w:rPr>
          <w:rFonts w:ascii="宋体" w:hAnsi="宋体"/>
          <w:color w:val="000080"/>
        </w:rPr>
      </w:pP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对话框左边显示手动采集的波形，右上方的采样参数输入与检测信息中相同，可以实时修改。如果取用并设置了滤波参数，则显示的波形为经过滤波后的波形。</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lastRenderedPageBreak/>
        <w:t>检定模式主要用于仪器计量，此时在波形</w:t>
      </w:r>
      <w:r>
        <w:rPr>
          <w:rFonts w:ascii="宋体" w:hAnsi="宋体"/>
          <w:sz w:val="24"/>
        </w:rPr>
        <w:t xml:space="preserve">12 </w:t>
      </w:r>
      <w:r>
        <w:rPr>
          <w:rFonts w:ascii="宋体" w:hAnsi="宋体" w:hint="eastAsia"/>
          <w:sz w:val="24"/>
        </w:rPr>
        <w:t>区域内只显示第一道波形曲线，游标在该区域内游动时，在左下侧显示当前点位置的点号、水平坐标（单位</w:t>
      </w:r>
      <w:r>
        <w:rPr>
          <w:rFonts w:ascii="宋体" w:hAnsi="宋体"/>
          <w:sz w:val="24"/>
        </w:rPr>
        <w:t>us</w:t>
      </w:r>
      <w:r>
        <w:rPr>
          <w:rFonts w:ascii="宋体" w:hAnsi="宋体" w:hint="eastAsia"/>
          <w:sz w:val="24"/>
        </w:rPr>
        <w:t>）和信号强度（</w:t>
      </w:r>
      <w:r>
        <w:rPr>
          <w:rFonts w:ascii="宋体" w:hAnsi="宋体"/>
          <w:sz w:val="24"/>
        </w:rPr>
        <w:t>mV</w:t>
      </w:r>
      <w:r>
        <w:rPr>
          <w:rFonts w:ascii="宋体" w:hAnsi="宋体" w:hint="eastAsia"/>
          <w:sz w:val="24"/>
        </w:rPr>
        <w:t>）。</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选中“启动测试”后，系统自动连续发射并接收超声信号。</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退出测试模式时，要先停止测试模式，再退出测试对话框界面。</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点击确定按钮后，采样参数可保存供实际采样使用。实际采样后或打开已有采样文件时测试模式不可用。</w:t>
      </w:r>
    </w:p>
    <w:p w:rsidR="00595ABE" w:rsidRDefault="00595ABE" w:rsidP="00595ABE">
      <w:pPr>
        <w:widowControl/>
        <w:snapToGrid w:val="0"/>
        <w:spacing w:line="440" w:lineRule="exact"/>
        <w:ind w:right="23" w:firstLineChars="200" w:firstLine="482"/>
        <w:rPr>
          <w:rFonts w:ascii="宋体" w:hAnsi="宋体"/>
          <w:b/>
          <w:sz w:val="24"/>
        </w:rPr>
      </w:pPr>
      <w:r>
        <w:rPr>
          <w:rFonts w:ascii="宋体" w:hAnsi="宋体" w:hint="eastAsia"/>
          <w:b/>
          <w:sz w:val="24"/>
        </w:rPr>
        <w:t>4、实时采样</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将以上参数设置好以后，就可以进行实时采样了。</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将探头放到孔口作为零点，选择菜单“采样</w:t>
      </w:r>
      <w:r>
        <w:rPr>
          <w:rFonts w:ascii="宋体" w:hAnsi="宋体"/>
          <w:sz w:val="24"/>
        </w:rPr>
        <w:t>/</w:t>
      </w:r>
      <w:r>
        <w:rPr>
          <w:rFonts w:ascii="宋体" w:hAnsi="宋体" w:hint="eastAsia"/>
          <w:sz w:val="24"/>
        </w:rPr>
        <w:t>开始采样”或在工具栏中点击图标，开始实时采样，将探头匀速下放直到遇到阻力时，实时采样中的显示界面如下图所示。</w:t>
      </w:r>
    </w:p>
    <w:p w:rsidR="00595ABE" w:rsidRDefault="00595ABE" w:rsidP="00595ABE">
      <w:pPr>
        <w:widowControl/>
        <w:snapToGrid w:val="0"/>
        <w:spacing w:line="440" w:lineRule="exact"/>
        <w:ind w:right="23" w:firstLineChars="200" w:firstLine="480"/>
        <w:jc w:val="center"/>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noProof/>
          <w:sz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067300" cy="216217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lastRenderedPageBreak/>
        <w:t>窗口显示十字方向两个剖面</w:t>
      </w:r>
      <w:r>
        <w:rPr>
          <w:rFonts w:ascii="宋体" w:hAnsi="宋体"/>
          <w:sz w:val="24"/>
        </w:rPr>
        <w:t xml:space="preserve">4 </w:t>
      </w:r>
      <w:r>
        <w:rPr>
          <w:rFonts w:ascii="宋体" w:hAnsi="宋体" w:hint="eastAsia"/>
          <w:sz w:val="24"/>
        </w:rPr>
        <w:t>个通道的实时波形并向下滚动，同时显示下放的深度。如果在显示过程中出现黄色波形，提示探头下放速度过快而出现丢失数据的现象，这时可反转提升探头至黄色波形处，“冲掉”黄色波形再缓慢匀速下放，直到孔底。</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选择菜单“采样</w:t>
      </w:r>
      <w:r>
        <w:rPr>
          <w:rFonts w:ascii="宋体" w:hAnsi="宋体"/>
          <w:sz w:val="24"/>
        </w:rPr>
        <w:t>/</w:t>
      </w:r>
      <w:r>
        <w:rPr>
          <w:rFonts w:ascii="宋体" w:hAnsi="宋体" w:hint="eastAsia"/>
          <w:sz w:val="24"/>
        </w:rPr>
        <w:t>停止采样”或在工具栏中点击图标，停止采样，这样就完成了实时测试的全过程。此时显示为带滚动条的波列图。</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如果对采样结果不满意，可选择菜单“采样</w:t>
      </w:r>
      <w:r>
        <w:rPr>
          <w:rFonts w:ascii="宋体" w:hAnsi="宋体"/>
          <w:sz w:val="24"/>
        </w:rPr>
        <w:t>/</w:t>
      </w:r>
      <w:r>
        <w:rPr>
          <w:rFonts w:ascii="宋体" w:hAnsi="宋体" w:hint="eastAsia"/>
          <w:sz w:val="24"/>
        </w:rPr>
        <w:t>复位”或在工具栏中点击图标进行复位，以设置好的参数重新采样。也只有复位后才能修改相关的检测参数。</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选择复位或关闭当前文件时如果当前数据未保存，会提示用户保存当前数据。后续章节的操作既可对当前采样结果进行分析，也可打开原有采样文件进行分析。</w:t>
      </w:r>
    </w:p>
    <w:p w:rsidR="00595ABE" w:rsidRDefault="00595ABE" w:rsidP="00595ABE">
      <w:pPr>
        <w:widowControl/>
        <w:snapToGrid w:val="0"/>
        <w:spacing w:line="480" w:lineRule="auto"/>
        <w:ind w:right="23" w:firstLineChars="200" w:firstLine="420"/>
        <w:rPr>
          <w:rFonts w:ascii="宋体" w:hAnsi="宋体"/>
          <w:color w:val="000080"/>
        </w:rPr>
      </w:pPr>
      <w:r>
        <w:rPr>
          <w:rFonts w:ascii="宋体" w:hAnsi="宋体"/>
          <w:noProof/>
          <w:color w:val="000080"/>
        </w:rPr>
        <w:drawing>
          <wp:inline distT="0" distB="0" distL="0" distR="0">
            <wp:extent cx="5063490" cy="149225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3490" cy="1492250"/>
                    </a:xfrm>
                    <a:prstGeom prst="rect">
                      <a:avLst/>
                    </a:prstGeom>
                    <a:noFill/>
                    <a:ln>
                      <a:noFill/>
                    </a:ln>
                  </pic:spPr>
                </pic:pic>
              </a:graphicData>
            </a:graphic>
          </wp:inline>
        </w:drawing>
      </w:r>
    </w:p>
    <w:p w:rsidR="00595ABE" w:rsidRDefault="00595ABE" w:rsidP="00595ABE">
      <w:pPr>
        <w:widowControl/>
        <w:snapToGrid w:val="0"/>
        <w:spacing w:line="440" w:lineRule="exact"/>
        <w:ind w:right="23" w:firstLineChars="200" w:firstLine="482"/>
        <w:rPr>
          <w:rFonts w:ascii="宋体" w:hAnsi="宋体"/>
          <w:b/>
          <w:sz w:val="24"/>
        </w:rPr>
      </w:pPr>
      <w:r>
        <w:rPr>
          <w:rFonts w:ascii="宋体" w:hAnsi="宋体" w:hint="eastAsia"/>
          <w:b/>
          <w:sz w:val="24"/>
        </w:rPr>
        <w:t>5、分析评价</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停止采样后就可进入对采样数据分析评价的过程。分析评价涉及的波列模式包括波列线图、灰度影像，结果数表，可选择相应的菜单项切换，打开已有文件时缺省显示为灰度影像模式。也可选择是否同时显示数据面板。</w:t>
      </w:r>
    </w:p>
    <w:p w:rsidR="00595ABE" w:rsidRDefault="00595ABE" w:rsidP="00595ABE">
      <w:pPr>
        <w:jc w:val="center"/>
        <w:rPr>
          <w:rFonts w:ascii="宋体" w:hAnsi="宋体"/>
          <w:color w:val="000080"/>
        </w:rPr>
      </w:pPr>
      <w:r>
        <w:rPr>
          <w:rFonts w:ascii="宋体" w:hAnsi="宋体"/>
          <w:noProof/>
          <w:color w:val="000080"/>
        </w:rPr>
        <w:drawing>
          <wp:inline distT="0" distB="0" distL="0" distR="0">
            <wp:extent cx="4796155" cy="1863090"/>
            <wp:effectExtent l="0" t="0" r="444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155" cy="1863090"/>
                    </a:xfrm>
                    <a:prstGeom prst="rect">
                      <a:avLst/>
                    </a:prstGeom>
                    <a:noFill/>
                    <a:ln>
                      <a:noFill/>
                    </a:ln>
                  </pic:spPr>
                </pic:pic>
              </a:graphicData>
            </a:graphic>
          </wp:inline>
        </w:drawing>
      </w:r>
    </w:p>
    <w:p w:rsidR="00595ABE" w:rsidRDefault="00595ABE" w:rsidP="00595ABE">
      <w:pPr>
        <w:rPr>
          <w:rFonts w:ascii="宋体" w:hAnsi="宋体"/>
          <w:color w:val="000080"/>
        </w:rPr>
      </w:pPr>
    </w:p>
    <w:p w:rsidR="00595ABE" w:rsidRDefault="00595ABE" w:rsidP="00595ABE">
      <w:pPr>
        <w:jc w:val="center"/>
        <w:rPr>
          <w:rFonts w:ascii="宋体" w:hAnsi="宋体"/>
          <w:color w:val="000080"/>
        </w:rPr>
      </w:pPr>
      <w:r>
        <w:rPr>
          <w:rFonts w:ascii="宋体" w:hAnsi="宋体"/>
          <w:noProof/>
          <w:color w:val="000080"/>
        </w:rPr>
        <w:lastRenderedPageBreak/>
        <w:drawing>
          <wp:inline distT="0" distB="0" distL="0" distR="0">
            <wp:extent cx="4485640" cy="19323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5640" cy="1932305"/>
                    </a:xfrm>
                    <a:prstGeom prst="rect">
                      <a:avLst/>
                    </a:prstGeom>
                    <a:noFill/>
                    <a:ln>
                      <a:noFill/>
                    </a:ln>
                  </pic:spPr>
                </pic:pic>
              </a:graphicData>
            </a:graphic>
          </wp:inline>
        </w:drawing>
      </w:r>
    </w:p>
    <w:p w:rsidR="00595ABE" w:rsidRDefault="00595ABE" w:rsidP="00595ABE">
      <w:pPr>
        <w:jc w:val="center"/>
        <w:rPr>
          <w:rFonts w:ascii="宋体" w:hAnsi="宋体"/>
          <w:sz w:val="24"/>
        </w:rPr>
      </w:pPr>
    </w:p>
    <w:p w:rsidR="00595ABE" w:rsidRDefault="00595ABE" w:rsidP="00595ABE">
      <w:pPr>
        <w:jc w:val="center"/>
        <w:rPr>
          <w:rFonts w:ascii="宋体" w:hAnsi="宋体"/>
          <w:sz w:val="24"/>
        </w:rPr>
      </w:pPr>
    </w:p>
    <w:p w:rsidR="00595ABE" w:rsidRDefault="00595ABE" w:rsidP="00595ABE">
      <w:pPr>
        <w:ind w:firstLineChars="200" w:firstLine="480"/>
        <w:rPr>
          <w:rFonts w:ascii="宋体" w:hAnsi="宋体" w:hint="eastAsia"/>
          <w:sz w:val="24"/>
        </w:rPr>
      </w:pPr>
      <w:r>
        <w:rPr>
          <w:rFonts w:ascii="宋体" w:hAnsi="宋体" w:hint="eastAsia"/>
          <w:sz w:val="24"/>
        </w:rPr>
        <w:t>波列线图和灰度影像显示模式下整个显示区域分为</w:t>
      </w:r>
      <w:r>
        <w:rPr>
          <w:rFonts w:ascii="宋体" w:hAnsi="宋体"/>
          <w:sz w:val="24"/>
        </w:rPr>
        <w:t xml:space="preserve">4 </w:t>
      </w:r>
      <w:r>
        <w:rPr>
          <w:rFonts w:ascii="宋体" w:hAnsi="宋体" w:hint="eastAsia"/>
          <w:sz w:val="24"/>
        </w:rPr>
        <w:t>种：标尺区、高度标注区、当前指示区和图形区。同时显示模式可选择</w:t>
      </w:r>
      <w:r>
        <w:rPr>
          <w:rFonts w:ascii="宋体" w:hAnsi="宋体"/>
          <w:sz w:val="24"/>
        </w:rPr>
        <w:t xml:space="preserve">1-3 </w:t>
      </w:r>
      <w:r>
        <w:rPr>
          <w:rFonts w:ascii="宋体" w:hAnsi="宋体" w:hint="eastAsia"/>
          <w:sz w:val="24"/>
        </w:rPr>
        <w:t>剖面、</w:t>
      </w:r>
      <w:r>
        <w:rPr>
          <w:rFonts w:ascii="宋体" w:hAnsi="宋体"/>
          <w:sz w:val="24"/>
        </w:rPr>
        <w:t xml:space="preserve">2-4 </w:t>
      </w:r>
      <w:r>
        <w:rPr>
          <w:rFonts w:ascii="宋体" w:hAnsi="宋体" w:hint="eastAsia"/>
          <w:sz w:val="24"/>
        </w:rPr>
        <w:t>剖面、双剖面，也可在图形区双击鼠标在</w:t>
      </w:r>
      <w:r>
        <w:rPr>
          <w:rFonts w:ascii="宋体" w:hAnsi="宋体"/>
          <w:sz w:val="24"/>
        </w:rPr>
        <w:t xml:space="preserve">3 </w:t>
      </w:r>
      <w:r>
        <w:rPr>
          <w:rFonts w:ascii="宋体" w:hAnsi="宋体" w:hint="eastAsia"/>
          <w:sz w:val="24"/>
        </w:rPr>
        <w:t>种显示模式间进行切换。</w:t>
      </w: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jc w:val="center"/>
      </w:pPr>
      <w:r>
        <w:rPr>
          <w:noProof/>
        </w:rPr>
        <w:drawing>
          <wp:inline distT="0" distB="0" distL="0" distR="0">
            <wp:extent cx="5262245" cy="26485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245" cy="2648585"/>
                    </a:xfrm>
                    <a:prstGeom prst="rect">
                      <a:avLst/>
                    </a:prstGeom>
                    <a:noFill/>
                    <a:ln>
                      <a:noFill/>
                    </a:ln>
                  </pic:spPr>
                </pic:pic>
              </a:graphicData>
            </a:graphic>
          </wp:inline>
        </w:drawing>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标尺区：显示十字方向两个剖面</w:t>
      </w:r>
      <w:r>
        <w:rPr>
          <w:rFonts w:ascii="宋体" w:hAnsi="宋体"/>
          <w:sz w:val="24"/>
        </w:rPr>
        <w:t xml:space="preserve">4 </w:t>
      </w:r>
      <w:r>
        <w:rPr>
          <w:rFonts w:ascii="宋体" w:hAnsi="宋体" w:hint="eastAsia"/>
          <w:sz w:val="24"/>
        </w:rPr>
        <w:t>个通道的指示，在波列线图中标注声时，单位为微秒</w:t>
      </w:r>
      <w:r>
        <w:rPr>
          <w:rFonts w:ascii="宋体" w:hAnsi="宋体"/>
          <w:sz w:val="24"/>
        </w:rPr>
        <w:t>(us)</w:t>
      </w:r>
      <w:r>
        <w:rPr>
          <w:rFonts w:ascii="宋体" w:hAnsi="宋体" w:hint="eastAsia"/>
          <w:sz w:val="24"/>
        </w:rPr>
        <w:t>；在灰度影像中标注孔壁距离，单位为毫米</w:t>
      </w:r>
      <w:r>
        <w:rPr>
          <w:rFonts w:ascii="宋体" w:hAnsi="宋体"/>
          <w:sz w:val="24"/>
        </w:rPr>
        <w:t>(mm)</w:t>
      </w:r>
      <w:r>
        <w:rPr>
          <w:rFonts w:ascii="宋体" w:hAnsi="宋体" w:hint="eastAsia"/>
          <w:sz w:val="24"/>
        </w:rPr>
        <w:t>。</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sz w:val="24"/>
        </w:rPr>
        <w:t xml:space="preserve">_ </w:t>
      </w:r>
      <w:r>
        <w:rPr>
          <w:rFonts w:ascii="宋体" w:hAnsi="宋体" w:hint="eastAsia"/>
          <w:sz w:val="24"/>
        </w:rPr>
        <w:t>高度区：显示距离孔口的深度。</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sz w:val="24"/>
        </w:rPr>
        <w:t xml:space="preserve">_ </w:t>
      </w:r>
      <w:r>
        <w:rPr>
          <w:rFonts w:ascii="宋体" w:hAnsi="宋体" w:hint="eastAsia"/>
          <w:sz w:val="24"/>
        </w:rPr>
        <w:t>当前指示：显示当前选中的波形，在数据面板的波形显示中有详细信息显示。</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sz w:val="24"/>
        </w:rPr>
        <w:t xml:space="preserve">_ </w:t>
      </w:r>
      <w:r>
        <w:rPr>
          <w:rFonts w:ascii="宋体" w:hAnsi="宋体" w:hint="eastAsia"/>
          <w:sz w:val="24"/>
        </w:rPr>
        <w:t>图形显示：在波列线图中将各高度的波形排列在一起，在灰度影像中根据各个位置波形的幅度显示不同的灰度。</w:t>
      </w: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rPr>
          <w:rFonts w:hint="eastAsia"/>
        </w:rPr>
      </w:pPr>
      <w:r>
        <w:rPr>
          <w:rFonts w:ascii="宋体" w:hAnsi="宋体"/>
          <w:noProof/>
          <w:color w:val="000080"/>
        </w:rPr>
        <w:lastRenderedPageBreak/>
        <w:drawing>
          <wp:inline distT="0" distB="0" distL="0" distR="0">
            <wp:extent cx="5038090" cy="19583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090" cy="1958340"/>
                    </a:xfrm>
                    <a:prstGeom prst="rect">
                      <a:avLst/>
                    </a:prstGeom>
                    <a:noFill/>
                    <a:ln>
                      <a:noFill/>
                    </a:ln>
                  </pic:spPr>
                </pic:pic>
              </a:graphicData>
            </a:graphic>
          </wp:inline>
        </w:drawing>
      </w:r>
    </w:p>
    <w:p w:rsidR="00595ABE" w:rsidRDefault="00595ABE" w:rsidP="00595ABE">
      <w:pPr>
        <w:widowControl/>
        <w:snapToGrid w:val="0"/>
        <w:spacing w:line="440" w:lineRule="exact"/>
        <w:ind w:right="23" w:firstLineChars="200" w:firstLine="482"/>
        <w:rPr>
          <w:rFonts w:ascii="宋体" w:hAnsi="宋体"/>
          <w:b/>
          <w:sz w:val="24"/>
        </w:rPr>
      </w:pPr>
      <w:r>
        <w:rPr>
          <w:rFonts w:ascii="宋体" w:hAnsi="宋体" w:hint="eastAsia"/>
          <w:b/>
          <w:sz w:val="24"/>
        </w:rPr>
        <w:t>6、结果计算及输出参数</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选择菜单“配置</w:t>
      </w:r>
      <w:r>
        <w:rPr>
          <w:rFonts w:ascii="宋体" w:hAnsi="宋体"/>
          <w:sz w:val="24"/>
        </w:rPr>
        <w:t>/</w:t>
      </w:r>
      <w:r>
        <w:rPr>
          <w:rFonts w:ascii="宋体" w:hAnsi="宋体" w:hint="eastAsia"/>
          <w:sz w:val="24"/>
        </w:rPr>
        <w:t>数表参数”或在工具栏中点击图标，进入结果计算及输出参数对话框</w:t>
      </w:r>
      <w:r>
        <w:rPr>
          <w:rFonts w:ascii="宋体" w:hAnsi="宋体"/>
          <w:sz w:val="24"/>
        </w:rPr>
        <w:t>(</w:t>
      </w:r>
      <w:r>
        <w:rPr>
          <w:rFonts w:ascii="宋体" w:hAnsi="宋体" w:hint="eastAsia"/>
          <w:sz w:val="24"/>
        </w:rPr>
        <w:t>图</w:t>
      </w:r>
      <w:r>
        <w:rPr>
          <w:rFonts w:ascii="宋体" w:hAnsi="宋体"/>
          <w:sz w:val="24"/>
        </w:rPr>
        <w:t>4-6)</w:t>
      </w:r>
      <w:r>
        <w:rPr>
          <w:rFonts w:ascii="宋体" w:hAnsi="宋体" w:hint="eastAsia"/>
          <w:sz w:val="24"/>
        </w:rPr>
        <w:t>。计算参数直接决定分析评价最后的数据结果，波速为超声在浑水中传播的速度，可根据实测数据人工调整，缺省为</w:t>
      </w:r>
      <w:r>
        <w:rPr>
          <w:rFonts w:ascii="宋体" w:hAnsi="宋体"/>
          <w:sz w:val="24"/>
        </w:rPr>
        <w:t xml:space="preserve">1485 </w:t>
      </w:r>
      <w:r>
        <w:rPr>
          <w:rFonts w:ascii="宋体" w:hAnsi="宋体" w:hint="eastAsia"/>
          <w:sz w:val="24"/>
        </w:rPr>
        <w:t>米</w:t>
      </w:r>
      <w:r>
        <w:rPr>
          <w:rFonts w:ascii="宋体" w:hAnsi="宋体"/>
          <w:sz w:val="24"/>
        </w:rPr>
        <w:t>/</w:t>
      </w:r>
      <w:r>
        <w:rPr>
          <w:rFonts w:ascii="宋体" w:hAnsi="宋体" w:hint="eastAsia"/>
          <w:sz w:val="24"/>
        </w:rPr>
        <w:t>秒。深度范围决定作为右边计算结果的有效数据范围。数表参数设定的选取深度范围可选择全深度和计算深度，其中选择计算深度时只显示指定深度范围的图形和数据</w:t>
      </w:r>
      <w:r>
        <w:rPr>
          <w:rFonts w:ascii="宋体" w:hAnsi="宋体"/>
          <w:sz w:val="24"/>
        </w:rPr>
        <w:t>(</w:t>
      </w:r>
      <w:r>
        <w:rPr>
          <w:rFonts w:ascii="宋体" w:hAnsi="宋体" w:hint="eastAsia"/>
          <w:sz w:val="24"/>
        </w:rPr>
        <w:t>包括打印</w:t>
      </w:r>
      <w:r>
        <w:rPr>
          <w:rFonts w:ascii="宋体" w:hAnsi="宋体"/>
          <w:sz w:val="24"/>
        </w:rPr>
        <w:t>)</w:t>
      </w:r>
      <w:r>
        <w:rPr>
          <w:rFonts w:ascii="宋体" w:hAnsi="宋体" w:hint="eastAsia"/>
          <w:sz w:val="24"/>
        </w:rPr>
        <w:t>；允许偏差参数决定异常数据的阈值，超过阈值的数据在数表显示中以彩色显示；数表选取输出方式可选择逐点或间隔点方式，其中间隔点方式每隔固定的间隔深度输出一行数据。</w:t>
      </w:r>
    </w:p>
    <w:p w:rsidR="00595ABE" w:rsidRDefault="00595ABE" w:rsidP="00595ABE">
      <w:pPr>
        <w:widowControl/>
        <w:snapToGrid w:val="0"/>
        <w:spacing w:line="440" w:lineRule="exact"/>
        <w:ind w:right="23" w:firstLineChars="200" w:firstLine="480"/>
        <w:rPr>
          <w:rFonts w:ascii="宋体" w:hAnsi="宋体"/>
          <w:sz w:val="24"/>
        </w:rPr>
      </w:pPr>
    </w:p>
    <w:p w:rsidR="00595ABE" w:rsidRDefault="00595ABE" w:rsidP="00595ABE">
      <w:pPr>
        <w:widowControl/>
        <w:snapToGrid w:val="0"/>
        <w:spacing w:line="360" w:lineRule="auto"/>
        <w:ind w:right="21" w:firstLineChars="200" w:firstLine="420"/>
        <w:jc w:val="center"/>
        <w:rPr>
          <w:rFonts w:ascii="宋体" w:hAnsi="宋体"/>
          <w:color w:val="000080"/>
        </w:rPr>
      </w:pPr>
      <w:r>
        <w:rPr>
          <w:rFonts w:ascii="宋体" w:hAnsi="宋体"/>
          <w:noProof/>
          <w:color w:val="000080"/>
        </w:rPr>
        <w:drawing>
          <wp:inline distT="0" distB="0" distL="0" distR="0">
            <wp:extent cx="4218305" cy="21050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305" cy="2105025"/>
                    </a:xfrm>
                    <a:prstGeom prst="rect">
                      <a:avLst/>
                    </a:prstGeom>
                    <a:noFill/>
                    <a:ln>
                      <a:noFill/>
                    </a:ln>
                  </pic:spPr>
                </pic:pic>
              </a:graphicData>
            </a:graphic>
          </wp:inline>
        </w:drawing>
      </w:r>
    </w:p>
    <w:p w:rsidR="00595ABE" w:rsidRDefault="00595ABE" w:rsidP="00595ABE">
      <w:pPr>
        <w:widowControl/>
        <w:snapToGrid w:val="0"/>
        <w:spacing w:line="360" w:lineRule="auto"/>
        <w:ind w:right="21" w:firstLineChars="200" w:firstLine="420"/>
        <w:jc w:val="center"/>
        <w:rPr>
          <w:rFonts w:ascii="宋体" w:hAnsi="宋体"/>
          <w:color w:val="000080"/>
        </w:rPr>
      </w:pPr>
    </w:p>
    <w:p w:rsidR="00595ABE" w:rsidRDefault="00595ABE" w:rsidP="00595ABE">
      <w:pPr>
        <w:widowControl/>
        <w:snapToGrid w:val="0"/>
        <w:spacing w:line="360" w:lineRule="auto"/>
        <w:ind w:right="21" w:firstLineChars="200" w:firstLine="420"/>
        <w:jc w:val="center"/>
        <w:rPr>
          <w:rFonts w:ascii="宋体" w:hAnsi="宋体"/>
          <w:color w:val="000080"/>
        </w:rPr>
      </w:pPr>
    </w:p>
    <w:p w:rsidR="00595ABE" w:rsidRDefault="00595ABE" w:rsidP="00595ABE">
      <w:pPr>
        <w:widowControl/>
        <w:snapToGrid w:val="0"/>
        <w:spacing w:line="440" w:lineRule="exact"/>
        <w:ind w:right="23" w:firstLineChars="200" w:firstLine="482"/>
        <w:rPr>
          <w:rFonts w:ascii="宋体" w:hAnsi="宋体"/>
          <w:b/>
          <w:sz w:val="24"/>
        </w:rPr>
      </w:pPr>
      <w:r>
        <w:rPr>
          <w:rFonts w:ascii="宋体" w:hAnsi="宋体" w:hint="eastAsia"/>
          <w:b/>
          <w:sz w:val="24"/>
        </w:rPr>
        <w:t>7、输出结果报告</w:t>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结果输出为整个采样数据分析结果的报告，将相关信息集中于一页</w:t>
      </w:r>
      <w:r>
        <w:rPr>
          <w:rFonts w:ascii="宋体" w:hAnsi="宋体"/>
          <w:sz w:val="24"/>
        </w:rPr>
        <w:t xml:space="preserve">A4 </w:t>
      </w:r>
      <w:r>
        <w:rPr>
          <w:rFonts w:ascii="宋体" w:hAnsi="宋体" w:hint="eastAsia"/>
          <w:sz w:val="24"/>
        </w:rPr>
        <w:t>大小的纸张打印输出。在打印前可以先进行打印预览，选择菜单“文件</w:t>
      </w:r>
      <w:r>
        <w:rPr>
          <w:rFonts w:ascii="宋体" w:hAnsi="宋体"/>
          <w:sz w:val="24"/>
        </w:rPr>
        <w:t>/</w:t>
      </w:r>
      <w:r>
        <w:rPr>
          <w:rFonts w:ascii="宋体" w:hAnsi="宋体" w:hint="eastAsia"/>
          <w:sz w:val="24"/>
        </w:rPr>
        <w:t>打印预览”或在工具栏中点击图标，进入打印预览。</w:t>
      </w:r>
    </w:p>
    <w:p w:rsidR="00595ABE" w:rsidRDefault="00595ABE" w:rsidP="00595ABE">
      <w:pPr>
        <w:jc w:val="center"/>
        <w:rPr>
          <w:rFonts w:ascii="TTE1C2A560t00" w:eastAsia="TT64E9BFA0tCID-WinCharSetFFFF-H" w:hAnsi="TTE1C2A560t00" w:cs="TTE1C2A560t00"/>
          <w:kern w:val="0"/>
          <w:szCs w:val="21"/>
        </w:rPr>
      </w:pPr>
    </w:p>
    <w:p w:rsidR="00595ABE" w:rsidRDefault="00595ABE" w:rsidP="00595ABE">
      <w:pPr>
        <w:widowControl/>
        <w:snapToGrid w:val="0"/>
        <w:spacing w:line="480" w:lineRule="auto"/>
        <w:ind w:right="23" w:firstLineChars="200" w:firstLine="480"/>
        <w:rPr>
          <w:rFonts w:ascii="宋体" w:hAnsi="宋体"/>
          <w:sz w:val="24"/>
        </w:rPr>
      </w:pPr>
      <w:r>
        <w:rPr>
          <w:rFonts w:ascii="宋体" w:hAnsi="宋体"/>
          <w:noProof/>
          <w:sz w:val="24"/>
        </w:rPr>
        <w:lastRenderedPageBreak/>
        <w:drawing>
          <wp:inline distT="0" distB="0" distL="0" distR="0">
            <wp:extent cx="4641215" cy="2950210"/>
            <wp:effectExtent l="0" t="0" r="698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215" cy="2950210"/>
                    </a:xfrm>
                    <a:prstGeom prst="rect">
                      <a:avLst/>
                    </a:prstGeom>
                    <a:noFill/>
                    <a:ln>
                      <a:noFill/>
                    </a:ln>
                  </pic:spPr>
                </pic:pic>
              </a:graphicData>
            </a:graphic>
          </wp:inline>
        </w:drawing>
      </w:r>
    </w:p>
    <w:p w:rsidR="00595ABE" w:rsidRDefault="00595ABE" w:rsidP="00595ABE">
      <w:pPr>
        <w:widowControl/>
        <w:snapToGrid w:val="0"/>
        <w:spacing w:line="440" w:lineRule="exact"/>
        <w:ind w:right="23" w:firstLineChars="200" w:firstLine="480"/>
        <w:rPr>
          <w:rFonts w:ascii="宋体" w:hAnsi="宋体"/>
          <w:sz w:val="24"/>
        </w:rPr>
      </w:pPr>
      <w:r>
        <w:rPr>
          <w:rFonts w:ascii="宋体" w:hAnsi="宋体" w:hint="eastAsia"/>
          <w:sz w:val="24"/>
        </w:rPr>
        <w:t>如果前面的基本信息未输入完整，这时也可再次输入完整后选择打印。</w:t>
      </w:r>
    </w:p>
    <w:p w:rsidR="00595ABE" w:rsidRPr="00595ABE" w:rsidRDefault="00595ABE" w:rsidP="00595ABE">
      <w:r>
        <w:rPr>
          <w:rFonts w:ascii="宋体" w:hAnsi="宋体" w:hint="eastAsia"/>
          <w:sz w:val="24"/>
        </w:rPr>
        <w:t>可以根据需要选择打印报告的内容，选择菜单“配置</w:t>
      </w:r>
      <w:r>
        <w:rPr>
          <w:rFonts w:ascii="宋体" w:hAnsi="宋体"/>
          <w:sz w:val="24"/>
        </w:rPr>
        <w:t>/</w:t>
      </w:r>
      <w:r>
        <w:rPr>
          <w:rFonts w:ascii="宋体" w:hAnsi="宋体" w:hint="eastAsia"/>
          <w:sz w:val="24"/>
        </w:rPr>
        <w:t>打印选项”进入打印选项对话框。根据用户的具体要求选择输出或不输出相应的内容。注意输出图形的深度范围也由结果计算及输出参数对话框中选择计算深度范围确定。选择合适的打印机可打印出纸质的结果报告，也可选择安装的虚拟打印机输出</w:t>
      </w:r>
      <w:r>
        <w:rPr>
          <w:rFonts w:ascii="宋体" w:hAnsi="宋体"/>
          <w:sz w:val="24"/>
        </w:rPr>
        <w:t xml:space="preserve">pdf </w:t>
      </w:r>
      <w:r>
        <w:rPr>
          <w:rFonts w:ascii="宋体" w:hAnsi="宋体" w:hint="eastAsia"/>
          <w:sz w:val="24"/>
        </w:rPr>
        <w:t>格式的报告文件。</w:t>
      </w:r>
      <w:bookmarkStart w:id="2" w:name="_GoBack"/>
      <w:bookmarkEnd w:id="2"/>
    </w:p>
    <w:sectPr w:rsidR="00595ABE" w:rsidRPr="00595A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B40" w:rsidRDefault="00217B40" w:rsidP="00595ABE">
      <w:r>
        <w:separator/>
      </w:r>
    </w:p>
  </w:endnote>
  <w:endnote w:type="continuationSeparator" w:id="0">
    <w:p w:rsidR="00217B40" w:rsidRDefault="00217B40" w:rsidP="0059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T64E9BFA0tCID-WinCharSetFFFF-H">
    <w:altName w:val="宋体"/>
    <w:charset w:val="86"/>
    <w:family w:val="auto"/>
    <w:pitch w:val="default"/>
    <w:sig w:usb0="00000000" w:usb1="00000000" w:usb2="00000010" w:usb3="00000000" w:csb0="00040000" w:csb1="00000000"/>
  </w:font>
  <w:font w:name="TTE1C2A560t00">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B40" w:rsidRDefault="00217B40" w:rsidP="00595ABE">
      <w:r>
        <w:separator/>
      </w:r>
    </w:p>
  </w:footnote>
  <w:footnote w:type="continuationSeparator" w:id="0">
    <w:p w:rsidR="00217B40" w:rsidRDefault="00217B40" w:rsidP="00595A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F7"/>
    <w:rsid w:val="00217B40"/>
    <w:rsid w:val="00595ABE"/>
    <w:rsid w:val="00A15FCF"/>
    <w:rsid w:val="00EA1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ABE"/>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5AB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95ABE"/>
    <w:rPr>
      <w:sz w:val="18"/>
      <w:szCs w:val="18"/>
    </w:rPr>
  </w:style>
  <w:style w:type="paragraph" w:styleId="a4">
    <w:name w:val="footer"/>
    <w:basedOn w:val="a"/>
    <w:link w:val="Char0"/>
    <w:uiPriority w:val="99"/>
    <w:unhideWhenUsed/>
    <w:rsid w:val="00595AB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95ABE"/>
    <w:rPr>
      <w:sz w:val="18"/>
      <w:szCs w:val="18"/>
    </w:rPr>
  </w:style>
  <w:style w:type="paragraph" w:styleId="a5">
    <w:name w:val="Balloon Text"/>
    <w:basedOn w:val="a"/>
    <w:link w:val="Char1"/>
    <w:uiPriority w:val="99"/>
    <w:semiHidden/>
    <w:unhideWhenUsed/>
    <w:rsid w:val="00595ABE"/>
    <w:rPr>
      <w:sz w:val="18"/>
      <w:szCs w:val="18"/>
    </w:rPr>
  </w:style>
  <w:style w:type="character" w:customStyle="1" w:styleId="Char1">
    <w:name w:val="批注框文本 Char"/>
    <w:basedOn w:val="a0"/>
    <w:link w:val="a5"/>
    <w:uiPriority w:val="99"/>
    <w:semiHidden/>
    <w:rsid w:val="00595AB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ABE"/>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5AB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595ABE"/>
    <w:rPr>
      <w:sz w:val="18"/>
      <w:szCs w:val="18"/>
    </w:rPr>
  </w:style>
  <w:style w:type="paragraph" w:styleId="a4">
    <w:name w:val="footer"/>
    <w:basedOn w:val="a"/>
    <w:link w:val="Char0"/>
    <w:uiPriority w:val="99"/>
    <w:unhideWhenUsed/>
    <w:rsid w:val="00595AB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95ABE"/>
    <w:rPr>
      <w:sz w:val="18"/>
      <w:szCs w:val="18"/>
    </w:rPr>
  </w:style>
  <w:style w:type="paragraph" w:styleId="a5">
    <w:name w:val="Balloon Text"/>
    <w:basedOn w:val="a"/>
    <w:link w:val="Char1"/>
    <w:uiPriority w:val="99"/>
    <w:semiHidden/>
    <w:unhideWhenUsed/>
    <w:rsid w:val="00595ABE"/>
    <w:rPr>
      <w:sz w:val="18"/>
      <w:szCs w:val="18"/>
    </w:rPr>
  </w:style>
  <w:style w:type="character" w:customStyle="1" w:styleId="Char1">
    <w:name w:val="批注框文本 Char"/>
    <w:basedOn w:val="a0"/>
    <w:link w:val="a5"/>
    <w:uiPriority w:val="99"/>
    <w:semiHidden/>
    <w:rsid w:val="00595AB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487</Words>
  <Characters>2780</Characters>
  <Application>Microsoft Office Word</Application>
  <DocSecurity>0</DocSecurity>
  <Lines>23</Lines>
  <Paragraphs>6</Paragraphs>
  <ScaleCrop>false</ScaleCrop>
  <Company>微软中国</Company>
  <LinksUpToDate>false</LinksUpToDate>
  <CharactersWithSpaces>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2020-03-05T08:52:00Z</dcterms:created>
  <dcterms:modified xsi:type="dcterms:W3CDTF">2020-03-05T08:54:00Z</dcterms:modified>
</cp:coreProperties>
</file>